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Jack Singley Agenda #3.2</w:t>
      </w:r>
    </w:p>
    <w:p w:rsidR="00000000" w:rsidDel="00000000" w:rsidP="00000000" w:rsidRDefault="00000000" w:rsidRPr="00000000" w14:paraId="00000002">
      <w:pPr>
        <w:jc w:val="center"/>
        <w:rPr/>
      </w:pPr>
      <w:r w:rsidDel="00000000" w:rsidR="00000000" w:rsidRPr="00000000">
        <w:rPr>
          <w:rtl w:val="0"/>
        </w:rPr>
        <w:t xml:space="preserve">4.17 at 8:15</w:t>
      </w:r>
    </w:p>
    <w:p w:rsidR="00000000" w:rsidDel="00000000" w:rsidP="00000000" w:rsidRDefault="00000000" w:rsidRPr="00000000" w14:paraId="00000003">
      <w:pPr>
        <w:jc w:val="center"/>
        <w:rPr/>
      </w:pPr>
      <w:r w:rsidDel="00000000" w:rsidR="00000000" w:rsidRPr="00000000">
        <w:rPr>
          <w:rtl w:val="0"/>
        </w:rPr>
        <w:t xml:space="preserve"> Irving  ISD - </w:t>
      </w:r>
      <w:hyperlink r:id="rId6">
        <w:r w:rsidDel="00000000" w:rsidR="00000000" w:rsidRPr="00000000">
          <w:rPr>
            <w:color w:val="1155cc"/>
            <w:u w:val="single"/>
            <w:rtl w:val="0"/>
          </w:rPr>
          <w:t xml:space="preserve">https://us02web.zoom.us/j/2367505029</w:t>
        </w:r>
      </w:hyperlink>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8:15- Check In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after="240" w:before="240" w:lineRule="auto"/>
        <w:rPr>
          <w:b w:val="1"/>
        </w:rPr>
      </w:pPr>
      <w:r w:rsidDel="00000000" w:rsidR="00000000" w:rsidRPr="00000000">
        <w:rPr>
          <w:rtl w:val="0"/>
        </w:rPr>
        <w:t xml:space="preserve">Benchmark 1 - School Design - Culture</w:t>
      </w:r>
      <w:r w:rsidDel="00000000" w:rsidR="00000000" w:rsidRPr="00000000">
        <w:rPr>
          <w:b w:val="1"/>
          <w:rtl w:val="0"/>
        </w:rPr>
        <w:t xml:space="preserve">  </w:t>
      </w:r>
    </w:p>
    <w:p w:rsidR="00000000" w:rsidDel="00000000" w:rsidP="00000000" w:rsidRDefault="00000000" w:rsidRPr="00000000" w14:paraId="00000008">
      <w:pPr>
        <w:spacing w:after="240" w:before="240" w:lineRule="auto"/>
        <w:rPr>
          <w:b w:val="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Benchmark 2 - Target Population--enrollment &amp; course selection status.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Benchmark 3 - Strategic Alliances  - IHE updates as move to virtual </w:t>
      </w:r>
    </w:p>
    <w:p w:rsidR="00000000" w:rsidDel="00000000" w:rsidP="00000000" w:rsidRDefault="00000000" w:rsidRPr="00000000" w14:paraId="0000000D">
      <w:pPr>
        <w:spacing w:after="240" w:lineRule="auto"/>
        <w:rPr>
          <w:rFonts w:ascii="Verdana" w:cs="Verdana" w:eastAsia="Verdana" w:hAnsi="Verdana"/>
          <w:color w:val="212529"/>
          <w:sz w:val="18"/>
          <w:szCs w:val="18"/>
        </w:rPr>
      </w:pPr>
      <w:r w:rsidDel="00000000" w:rsidR="00000000" w:rsidRPr="00000000">
        <w:rPr>
          <w:rFonts w:ascii="Verdana" w:cs="Verdana" w:eastAsia="Verdana" w:hAnsi="Verdana"/>
          <w:color w:val="212529"/>
          <w:sz w:val="18"/>
          <w:szCs w:val="18"/>
          <w:rtl w:val="0"/>
        </w:rPr>
        <w:t xml:space="preserve">For non-exempt students enrolling at higher education institutions in summer 2020, institutions may use either of the following options, depending on other indicators of students’ level of preparation, such as HS GPA, HS course-taking, and non-cognitive factors:</w:t>
      </w:r>
    </w:p>
    <w:p w:rsidR="00000000" w:rsidDel="00000000" w:rsidP="00000000" w:rsidRDefault="00000000" w:rsidRPr="00000000" w14:paraId="0000000E">
      <w:pPr>
        <w:numPr>
          <w:ilvl w:val="0"/>
          <w:numId w:val="1"/>
        </w:numPr>
        <w:spacing w:after="240" w:lineRule="auto"/>
        <w:ind w:left="940" w:hanging="360"/>
      </w:pPr>
      <w:r w:rsidDel="00000000" w:rsidR="00000000" w:rsidRPr="00000000">
        <w:rPr>
          <w:rFonts w:ascii="Verdana" w:cs="Verdana" w:eastAsia="Verdana" w:hAnsi="Verdana"/>
          <w:color w:val="212529"/>
          <w:sz w:val="18"/>
          <w:szCs w:val="18"/>
          <w:rtl w:val="0"/>
        </w:rPr>
        <w:t xml:space="preserve">Enroll the student in the college-level course as part of a corequisite model, in which case, we recommend the support component of the corequisite model be delivered as a non-course based option (NCBO), which includes flexibility for faculty to modify the required support for students who are doing well in the college course, as demonstrated via assessments and other relevant assignments; or</w:t>
      </w:r>
    </w:p>
    <w:p w:rsidR="00000000" w:rsidDel="00000000" w:rsidP="00000000" w:rsidRDefault="00000000" w:rsidRPr="00000000" w14:paraId="0000000F">
      <w:pPr>
        <w:rPr/>
      </w:pPr>
      <w:r w:rsidDel="00000000" w:rsidR="00000000" w:rsidRPr="00000000">
        <w:rPr>
          <w:rFonts w:ascii="Verdana" w:cs="Verdana" w:eastAsia="Verdana" w:hAnsi="Verdana"/>
          <w:color w:val="212529"/>
          <w:sz w:val="18"/>
          <w:szCs w:val="18"/>
          <w:rtl w:val="0"/>
        </w:rPr>
        <w:t xml:space="preserve">Utilize </w:t>
      </w:r>
      <w:hyperlink r:id="rId7">
        <w:r w:rsidDel="00000000" w:rsidR="00000000" w:rsidRPr="00000000">
          <w:rPr>
            <w:rFonts w:ascii="Verdana" w:cs="Verdana" w:eastAsia="Verdana" w:hAnsi="Verdana"/>
            <w:color w:val="005576"/>
            <w:sz w:val="18"/>
            <w:szCs w:val="18"/>
            <w:u w:val="single"/>
            <w:rtl w:val="0"/>
          </w:rPr>
          <w:t xml:space="preserve">Rule 4.55(a)</w:t>
        </w:r>
      </w:hyperlink>
      <w:r w:rsidDel="00000000" w:rsidR="00000000" w:rsidRPr="00000000">
        <w:rPr>
          <w:rFonts w:ascii="Verdana" w:cs="Verdana" w:eastAsia="Verdana" w:hAnsi="Verdana"/>
          <w:color w:val="212529"/>
          <w:sz w:val="18"/>
          <w:szCs w:val="18"/>
          <w:rtl w:val="0"/>
        </w:rPr>
        <w:t xml:space="preserve"> (Texas Administrative Code, Chapter 4, subchapter C) “exceptional circumstances” provision for an individual who has no access to TSI testing. Under the “exceptional circumstances” provision, an institution may permit a student to enroll in freshman-level academic coursework without assessment but shall require the student to be assessed not later than the end of first semester</w:t>
      </w:r>
      <w:r w:rsidDel="00000000" w:rsidR="00000000" w:rsidRPr="00000000">
        <w:rPr>
          <w:rtl w:val="0"/>
        </w:rPr>
        <w:t xml:space="preserv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9:15- Benchmark 4 - Curriculum, Instruction  and Assessment Workshop - systems for monitoring, tutoring needs, TSI,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Workshop -  </w:t>
      </w:r>
      <w:hyperlink r:id="rId8">
        <w:r w:rsidDel="00000000" w:rsidR="00000000" w:rsidRPr="00000000">
          <w:rPr>
            <w:color w:val="1155cc"/>
            <w:u w:val="single"/>
            <w:rtl w:val="0"/>
          </w:rPr>
          <w:t xml:space="preserve">Texas STEM Framework</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Benchmark 5 - Work-Based Learning - a </w:t>
      </w:r>
    </w:p>
    <w:p w:rsidR="00000000" w:rsidDel="00000000" w:rsidP="00000000" w:rsidRDefault="00000000" w:rsidRPr="00000000" w14:paraId="00000018">
      <w:pPr>
        <w:ind w:left="600" w:right="600" w:firstLine="0"/>
        <w:rPr>
          <w:color w:val="222222"/>
          <w:highlight w:val="white"/>
        </w:rPr>
      </w:pPr>
      <w:r w:rsidDel="00000000" w:rsidR="00000000" w:rsidRPr="00000000">
        <w:rPr>
          <w:rtl w:val="0"/>
        </w:rPr>
      </w:r>
    </w:p>
    <w:p w:rsidR="00000000" w:rsidDel="00000000" w:rsidP="00000000" w:rsidRDefault="00000000" w:rsidRPr="00000000" w14:paraId="00000019">
      <w:pPr>
        <w:ind w:left="600" w:right="600" w:firstLine="0"/>
        <w:rPr>
          <w:color w:val="222222"/>
          <w:highlight w:val="white"/>
        </w:rPr>
      </w:pPr>
      <w:r w:rsidDel="00000000" w:rsidR="00000000" w:rsidRPr="00000000">
        <w:rPr>
          <w:color w:val="222222"/>
          <w:highlight w:val="white"/>
          <w:rtl w:val="0"/>
        </w:rPr>
        <w:t xml:space="preserve">Nepris is hosting Training 2.0 sessions on the times and days below for several weeks. Please select the </w:t>
      </w:r>
      <w:r w:rsidDel="00000000" w:rsidR="00000000" w:rsidRPr="00000000">
        <w:rPr>
          <w:color w:val="222222"/>
          <w:highlight w:val="white"/>
          <w:u w:val="single"/>
          <w:rtl w:val="0"/>
        </w:rPr>
        <w:t xml:space="preserve">day</w:t>
      </w:r>
      <w:r w:rsidDel="00000000" w:rsidR="00000000" w:rsidRPr="00000000">
        <w:rPr>
          <w:color w:val="222222"/>
          <w:highlight w:val="white"/>
          <w:rtl w:val="0"/>
        </w:rPr>
        <w:t xml:space="preserve"> and </w:t>
      </w:r>
      <w:r w:rsidDel="00000000" w:rsidR="00000000" w:rsidRPr="00000000">
        <w:rPr>
          <w:color w:val="222222"/>
          <w:highlight w:val="white"/>
          <w:u w:val="single"/>
          <w:rtl w:val="0"/>
        </w:rPr>
        <w:t xml:space="preserve">time</w:t>
      </w:r>
      <w:r w:rsidDel="00000000" w:rsidR="00000000" w:rsidRPr="00000000">
        <w:rPr>
          <w:color w:val="222222"/>
          <w:highlight w:val="white"/>
          <w:rtl w:val="0"/>
        </w:rPr>
        <w:t xml:space="preserve"> of your choice below, then you will have a choice of dates from which you would like to attend:</w:t>
      </w:r>
    </w:p>
    <w:p w:rsidR="00000000" w:rsidDel="00000000" w:rsidP="00000000" w:rsidRDefault="00000000" w:rsidRPr="00000000" w14:paraId="0000001A">
      <w:pPr>
        <w:numPr>
          <w:ilvl w:val="0"/>
          <w:numId w:val="2"/>
        </w:numPr>
        <w:spacing w:after="0" w:afterAutospacing="0" w:before="200" w:lineRule="auto"/>
        <w:ind w:left="1540" w:right="600" w:hanging="360"/>
      </w:pPr>
      <w:hyperlink r:id="rId9">
        <w:r w:rsidDel="00000000" w:rsidR="00000000" w:rsidRPr="00000000">
          <w:rPr>
            <w:color w:val="1155cc"/>
            <w:highlight w:val="white"/>
            <w:u w:val="single"/>
            <w:rtl w:val="0"/>
          </w:rPr>
          <w:t xml:space="preserve">Tuesdays from 9:30 - 10:30 am CT</w:t>
        </w:r>
      </w:hyperlink>
      <w:r w:rsidDel="00000000" w:rsidR="00000000" w:rsidRPr="00000000">
        <w:rPr>
          <w:rtl w:val="0"/>
        </w:rPr>
      </w:r>
    </w:p>
    <w:p w:rsidR="00000000" w:rsidDel="00000000" w:rsidP="00000000" w:rsidRDefault="00000000" w:rsidRPr="00000000" w14:paraId="0000001B">
      <w:pPr>
        <w:numPr>
          <w:ilvl w:val="0"/>
          <w:numId w:val="2"/>
        </w:numPr>
        <w:spacing w:after="0" w:afterAutospacing="0" w:before="0" w:beforeAutospacing="0" w:lineRule="auto"/>
        <w:ind w:left="1540" w:right="600" w:hanging="360"/>
      </w:pPr>
      <w:hyperlink r:id="rId10">
        <w:r w:rsidDel="00000000" w:rsidR="00000000" w:rsidRPr="00000000">
          <w:rPr>
            <w:color w:val="1155cc"/>
            <w:highlight w:val="white"/>
            <w:u w:val="single"/>
            <w:rtl w:val="0"/>
          </w:rPr>
          <w:t xml:space="preserve">Thursdays from 12:00 - 1:00 pm CT</w:t>
        </w:r>
      </w:hyperlink>
      <w:r w:rsidDel="00000000" w:rsidR="00000000" w:rsidRPr="00000000">
        <w:rPr>
          <w:rtl w:val="0"/>
        </w:rPr>
      </w:r>
    </w:p>
    <w:p w:rsidR="00000000" w:rsidDel="00000000" w:rsidP="00000000" w:rsidRDefault="00000000" w:rsidRPr="00000000" w14:paraId="0000001C">
      <w:pPr>
        <w:numPr>
          <w:ilvl w:val="0"/>
          <w:numId w:val="2"/>
        </w:numPr>
        <w:spacing w:after="200" w:before="0" w:beforeAutospacing="0" w:lineRule="auto"/>
        <w:ind w:left="1540" w:right="600" w:hanging="360"/>
      </w:pPr>
      <w:hyperlink r:id="rId11">
        <w:r w:rsidDel="00000000" w:rsidR="00000000" w:rsidRPr="00000000">
          <w:rPr>
            <w:color w:val="1155cc"/>
            <w:highlight w:val="white"/>
            <w:u w:val="single"/>
            <w:rtl w:val="0"/>
          </w:rPr>
          <w:t xml:space="preserve">Thursdays from 3:00 - 4:00 pm CT</w:t>
        </w:r>
      </w:hyperlink>
      <w:r w:rsidDel="00000000" w:rsidR="00000000" w:rsidRPr="00000000">
        <w:rPr>
          <w:rtl w:val="0"/>
        </w:rPr>
      </w:r>
    </w:p>
    <w:p w:rsidR="00000000" w:rsidDel="00000000" w:rsidP="00000000" w:rsidRDefault="00000000" w:rsidRPr="00000000" w14:paraId="0000001D">
      <w:pPr>
        <w:ind w:left="600" w:right="600" w:firstLine="0"/>
        <w:rPr>
          <w:color w:val="232333"/>
          <w:sz w:val="21"/>
          <w:szCs w:val="21"/>
          <w:highlight w:val="white"/>
        </w:rPr>
      </w:pPr>
      <w:r w:rsidDel="00000000" w:rsidR="00000000" w:rsidRPr="00000000">
        <w:rPr>
          <w:color w:val="232333"/>
          <w:sz w:val="21"/>
          <w:szCs w:val="21"/>
          <w:highlight w:val="white"/>
          <w:rtl w:val="0"/>
        </w:rPr>
        <w:t xml:space="preserve">Videos in Health Sciences, Robotics, Tech Support -- several are companies/employers in the South--ATT, New Orleans hospitals, City of Irving. Also micro videos 2-5 minutes long.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Benchmark 6 - Student Support - Summer Bridge, Mobilize </w:t>
      </w:r>
    </w:p>
    <w:p w:rsidR="00000000" w:rsidDel="00000000" w:rsidP="00000000" w:rsidRDefault="00000000" w:rsidRPr="00000000" w14:paraId="00000021">
      <w:pPr>
        <w:spacing w:after="240" w:before="240" w:lineRule="auto"/>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tbl>
      <w:tblPr>
        <w:tblStyle w:val="Table1"/>
        <w:tblW w:w="98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620"/>
        <w:tblGridChange w:id="0">
          <w:tblGrid>
            <w:gridCol w:w="2190"/>
            <w:gridCol w:w="76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Next Steps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Provided Resource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Register for Summit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hyperlink r:id="rId12">
              <w:r w:rsidDel="00000000" w:rsidR="00000000" w:rsidRPr="00000000">
                <w:rPr>
                  <w:color w:val="1155cc"/>
                  <w:u w:val="single"/>
                  <w:rtl w:val="0"/>
                </w:rPr>
                <w:t xml:space="preserve">https://www.edtx.org/get-involved/events/ccrsm-2020-leadership-summit</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Dates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Dates for Future Meetings - May 5 will complete with 4 visits for designated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t xml:space="preserve">Trauma with Students Webinars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160" w:line="256.7994545454545" w:lineRule="auto"/>
              <w:rPr>
                <w:rFonts w:ascii="Calibri" w:cs="Calibri" w:eastAsia="Calibri" w:hAnsi="Calibri"/>
                <w:color w:val="954f72"/>
                <w:u w:val="single"/>
              </w:rPr>
            </w:pPr>
            <w:hyperlink r:id="rId13">
              <w:r w:rsidDel="00000000" w:rsidR="00000000" w:rsidRPr="00000000">
                <w:rPr>
                  <w:rFonts w:ascii="Calibri" w:cs="Calibri" w:eastAsia="Calibri" w:hAnsi="Calibri"/>
                  <w:color w:val="1155cc"/>
                  <w:u w:val="single"/>
                  <w:rtl w:val="0"/>
                </w:rPr>
                <w:t xml:space="preserve">https://www.edelements.com/webinars</w:t>
              </w:r>
            </w:hyperlink>
            <w:r w:rsidDel="00000000" w:rsidR="00000000" w:rsidRPr="00000000">
              <w:rPr>
                <w:rtl w:val="0"/>
              </w:rPr>
            </w:r>
          </w:p>
          <w:p w:rsidR="00000000" w:rsidDel="00000000" w:rsidP="00000000" w:rsidRDefault="00000000" w:rsidRPr="00000000" w14:paraId="0000002B">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Academic Vocab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160" w:line="256.7994545454545" w:lineRule="auto"/>
              <w:rPr>
                <w:rFonts w:ascii="Calibri" w:cs="Calibri" w:eastAsia="Calibri" w:hAnsi="Calibri"/>
                <w:color w:val="954f72"/>
                <w:u w:val="single"/>
              </w:rPr>
            </w:pPr>
            <w:hyperlink r:id="rId14">
              <w:r w:rsidDel="00000000" w:rsidR="00000000" w:rsidRPr="00000000">
                <w:rPr>
                  <w:rFonts w:ascii="Calibri" w:cs="Calibri" w:eastAsia="Calibri" w:hAnsi="Calibri"/>
                  <w:color w:val="1155cc"/>
                  <w:u w:val="single"/>
                  <w:rtl w:val="0"/>
                </w:rPr>
                <w:t xml:space="preserve">https://lead4ward.com/resources/</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TEA Covid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160" w:line="256.7994545454545" w:lineRule="auto"/>
              <w:rPr>
                <w:rFonts w:ascii="Calibri" w:cs="Calibri" w:eastAsia="Calibri" w:hAnsi="Calibri"/>
              </w:rPr>
            </w:pPr>
            <w:hyperlink r:id="rId15">
              <w:r w:rsidDel="00000000" w:rsidR="00000000" w:rsidRPr="00000000">
                <w:rPr>
                  <w:rFonts w:ascii="Calibri" w:cs="Calibri" w:eastAsia="Calibri" w:hAnsi="Calibri"/>
                  <w:color w:val="1155cc"/>
                  <w:u w:val="single"/>
                  <w:rtl w:val="0"/>
                </w:rPr>
                <w:t xml:space="preserve">https://tea.texas.gov/texas-schools/health-safety-discipline/coronavirus-covid-19-support-and-guidance</w:t>
              </w:r>
            </w:hyperlink>
            <w:r w:rsidDel="00000000" w:rsidR="00000000" w:rsidRPr="00000000">
              <w:rPr>
                <w:rtl w:val="0"/>
              </w:rPr>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tbl>
      <w:tblPr>
        <w:tblStyle w:val="Table2"/>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4.5"/>
        <w:gridCol w:w="2844.5"/>
        <w:gridCol w:w="2844.5"/>
        <w:gridCol w:w="2844.5"/>
        <w:tblGridChange w:id="0">
          <w:tblGrid>
            <w:gridCol w:w="2844.5"/>
            <w:gridCol w:w="2844.5"/>
            <w:gridCol w:w="2844.5"/>
            <w:gridCol w:w="284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Title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t xml:space="preserve">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Signature </w:t>
            </w:r>
          </w:p>
        </w:tc>
      </w:tr>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t xml:space="preserve">Lisa Casto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Coach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Coach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drawing>
                <wp:inline distB="114300" distT="114300" distL="114300" distR="114300">
                  <wp:extent cx="1352550" cy="469900"/>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352550" cy="469900"/>
                          </a:xfrm>
                          <a:prstGeom prst="rect"/>
                          <a:ln/>
                        </pic:spPr>
                      </pic:pic>
                    </a:graphicData>
                  </a:graphic>
                </wp:inline>
              </w:drawing>
            </w:r>
            <w:r w:rsidDel="00000000" w:rsidR="00000000" w:rsidRPr="00000000">
              <w:rPr>
                <w:rtl w:val="0"/>
              </w:rPr>
            </w:r>
          </w:p>
        </w:tc>
      </w:tr>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Jenny Anderson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Administrator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276" w:lineRule="auto"/>
              <w:ind w:left="5760"/>
              <w:rPr/>
            </w:pPr>
            <w:r w:rsidDel="00000000" w:rsidR="00000000" w:rsidRPr="00000000">
              <w:rPr/>
              <w:drawing>
                <wp:inline distB="114300" distT="114300" distL="114300" distR="114300">
                  <wp:extent cx="1664018" cy="495300"/>
                  <wp:effectExtent b="0" l="0" r="0" t="0"/>
                  <wp:docPr id="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664018" cy="495300"/>
                          </a:xfrm>
                          <a:prstGeom prst="rect"/>
                          <a:ln/>
                        </pic:spPr>
                      </pic:pic>
                    </a:graphicData>
                  </a:graphic>
                </wp:inline>
              </w:drawing>
            </w:r>
            <w:r w:rsidDel="00000000" w:rsidR="00000000" w:rsidRPr="00000000">
              <w:rPr>
                <w:rtl w:val="0"/>
              </w:rPr>
            </w:r>
          </w:p>
        </w:tc>
      </w:tr>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Katie Crone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t xml:space="preserve">Academic Specialist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t xml:space="preserve">Coordinator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mc:AlternateContent>
                <mc:Choice Requires="wpg">
                  <w:drawing>
                    <wp:inline distB="114300" distT="114300" distL="114300" distR="114300">
                      <wp:extent cx="1269682" cy="384532"/>
                      <wp:effectExtent b="0" l="0" r="0" t="0"/>
                      <wp:docPr id="1" name=""/>
                      <a:graphic>
                        <a:graphicData uri="http://schemas.microsoft.com/office/word/2010/wordprocessingGroup">
                          <wpg:wgp>
                            <wpg:cNvGrpSpPr/>
                            <wpg:grpSpPr>
                              <a:xfrm>
                                <a:off x="846075" y="587357"/>
                                <a:ext cx="1269682" cy="384532"/>
                                <a:chOff x="846075" y="587357"/>
                                <a:chExt cx="2566840" cy="760568"/>
                              </a:xfrm>
                            </wpg:grpSpPr>
                            <wps:wsp>
                              <wps:cNvSpPr/>
                              <wps:cNvPr id="2" name="Shape 2"/>
                              <wps:spPr>
                                <a:xfrm>
                                  <a:off x="846075" y="630000"/>
                                  <a:ext cx="9850" cy="717925"/>
                                </a:xfrm>
                                <a:custGeom>
                                  <a:rect b="b" l="l" r="r" t="t"/>
                                  <a:pathLst>
                                    <a:path extrusionOk="0" h="28717" w="394">
                                      <a:moveTo>
                                        <a:pt x="394" y="0"/>
                                      </a:moveTo>
                                      <a:cubicBezTo>
                                        <a:pt x="394" y="9573"/>
                                        <a:pt x="0" y="19144"/>
                                        <a:pt x="0" y="28717"/>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863563" y="659500"/>
                                  <a:ext cx="1261000" cy="617450"/>
                                </a:xfrm>
                                <a:custGeom>
                                  <a:rect b="b" l="l" r="r" t="t"/>
                                  <a:pathLst>
                                    <a:path extrusionOk="0" h="24698" w="50440">
                                      <a:moveTo>
                                        <a:pt x="10315" y="0"/>
                                      </a:moveTo>
                                      <a:cubicBezTo>
                                        <a:pt x="6818" y="3996"/>
                                        <a:pt x="4848" y="9127"/>
                                        <a:pt x="1661" y="13375"/>
                                      </a:cubicBezTo>
                                      <a:cubicBezTo>
                                        <a:pt x="1012" y="14240"/>
                                        <a:pt x="1955" y="16522"/>
                                        <a:pt x="874" y="16522"/>
                                      </a:cubicBezTo>
                                      <a:cubicBezTo>
                                        <a:pt x="-2005" y="16522"/>
                                        <a:pt x="3224" y="6955"/>
                                        <a:pt x="5201" y="9048"/>
                                      </a:cubicBezTo>
                                      <a:cubicBezTo>
                                        <a:pt x="9293" y="13381"/>
                                        <a:pt x="11075" y="25029"/>
                                        <a:pt x="16609" y="22816"/>
                                      </a:cubicBezTo>
                                      <a:cubicBezTo>
                                        <a:pt x="19770" y="21552"/>
                                        <a:pt x="21053" y="15937"/>
                                        <a:pt x="19363" y="12982"/>
                                      </a:cubicBezTo>
                                      <a:cubicBezTo>
                                        <a:pt x="18894" y="12161"/>
                                        <a:pt x="18576" y="10096"/>
                                        <a:pt x="17789" y="10621"/>
                                      </a:cubicBezTo>
                                      <a:cubicBezTo>
                                        <a:pt x="13956" y="13176"/>
                                        <a:pt x="12861" y="21712"/>
                                        <a:pt x="16609" y="24390"/>
                                      </a:cubicBezTo>
                                      <a:cubicBezTo>
                                        <a:pt x="18333" y="25622"/>
                                        <a:pt x="18970" y="20608"/>
                                        <a:pt x="18970" y="18489"/>
                                      </a:cubicBezTo>
                                      <a:cubicBezTo>
                                        <a:pt x="18970" y="17309"/>
                                        <a:pt x="18970" y="13769"/>
                                        <a:pt x="18970" y="14949"/>
                                      </a:cubicBezTo>
                                      <a:cubicBezTo>
                                        <a:pt x="18970" y="16653"/>
                                        <a:pt x="19934" y="18291"/>
                                        <a:pt x="20936" y="19669"/>
                                      </a:cubicBezTo>
                                      <a:cubicBezTo>
                                        <a:pt x="21971" y="21092"/>
                                        <a:pt x="24083" y="22816"/>
                                        <a:pt x="25657" y="22029"/>
                                      </a:cubicBezTo>
                                      <a:cubicBezTo>
                                        <a:pt x="28943" y="20386"/>
                                        <a:pt x="26846" y="14601"/>
                                        <a:pt x="26050" y="11015"/>
                                      </a:cubicBezTo>
                                      <a:cubicBezTo>
                                        <a:pt x="25676" y="9331"/>
                                        <a:pt x="24719" y="4265"/>
                                        <a:pt x="25264" y="5901"/>
                                      </a:cubicBezTo>
                                      <a:cubicBezTo>
                                        <a:pt x="27180" y="11653"/>
                                        <a:pt x="26006" y="24004"/>
                                        <a:pt x="31951" y="22816"/>
                                      </a:cubicBezTo>
                                      <a:cubicBezTo>
                                        <a:pt x="35189" y="22169"/>
                                        <a:pt x="35879" y="14812"/>
                                        <a:pt x="33131" y="12982"/>
                                      </a:cubicBezTo>
                                      <a:cubicBezTo>
                                        <a:pt x="31887" y="12153"/>
                                        <a:pt x="31182" y="16027"/>
                                        <a:pt x="31951" y="17309"/>
                                      </a:cubicBezTo>
                                      <a:cubicBezTo>
                                        <a:pt x="33327" y="19603"/>
                                        <a:pt x="37335" y="19874"/>
                                        <a:pt x="39819" y="18882"/>
                                      </a:cubicBezTo>
                                      <a:cubicBezTo>
                                        <a:pt x="43109" y="17567"/>
                                        <a:pt x="43159" y="6295"/>
                                        <a:pt x="40212" y="8261"/>
                                      </a:cubicBezTo>
                                      <a:cubicBezTo>
                                        <a:pt x="36786" y="10546"/>
                                        <a:pt x="39015" y="17820"/>
                                        <a:pt x="42179" y="20456"/>
                                      </a:cubicBezTo>
                                      <a:cubicBezTo>
                                        <a:pt x="44297" y="22221"/>
                                        <a:pt x="47976" y="22084"/>
                                        <a:pt x="50440" y="2084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1465675" y="915200"/>
                                  <a:ext cx="226175" cy="19675"/>
                                </a:xfrm>
                                <a:custGeom>
                                  <a:rect b="b" l="l" r="r" t="t"/>
                                  <a:pathLst>
                                    <a:path extrusionOk="0" h="787" w="9047">
                                      <a:moveTo>
                                        <a:pt x="9047" y="0"/>
                                      </a:moveTo>
                                      <a:cubicBezTo>
                                        <a:pt x="6020" y="0"/>
                                        <a:pt x="3027" y="787"/>
                                        <a:pt x="0" y="787"/>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2166465" y="587357"/>
                                  <a:ext cx="1246450" cy="697000"/>
                                </a:xfrm>
                                <a:custGeom>
                                  <a:rect b="b" l="l" r="r" t="t"/>
                                  <a:pathLst>
                                    <a:path extrusionOk="0" h="27880" w="49858">
                                      <a:moveTo>
                                        <a:pt x="5012" y="1312"/>
                                      </a:moveTo>
                                      <a:cubicBezTo>
                                        <a:pt x="1843" y="-6605"/>
                                        <a:pt x="-4048" y="24816"/>
                                        <a:pt x="4225" y="26882"/>
                                      </a:cubicBezTo>
                                      <a:cubicBezTo>
                                        <a:pt x="8175" y="27868"/>
                                        <a:pt x="4493" y="17960"/>
                                        <a:pt x="7372" y="15081"/>
                                      </a:cubicBezTo>
                                      <a:cubicBezTo>
                                        <a:pt x="10951" y="11502"/>
                                        <a:pt x="13180" y="31165"/>
                                        <a:pt x="16420" y="27276"/>
                                      </a:cubicBezTo>
                                      <a:cubicBezTo>
                                        <a:pt x="18200" y="25139"/>
                                        <a:pt x="17600" y="21797"/>
                                        <a:pt x="17600" y="19015"/>
                                      </a:cubicBezTo>
                                      <a:cubicBezTo>
                                        <a:pt x="17600" y="18016"/>
                                        <a:pt x="17126" y="15555"/>
                                        <a:pt x="16420" y="16261"/>
                                      </a:cubicBezTo>
                                      <a:cubicBezTo>
                                        <a:pt x="14177" y="18504"/>
                                        <a:pt x="17969" y="24522"/>
                                        <a:pt x="21141" y="24522"/>
                                      </a:cubicBezTo>
                                      <a:cubicBezTo>
                                        <a:pt x="24073" y="24522"/>
                                        <a:pt x="22459" y="16350"/>
                                        <a:pt x="19567" y="15868"/>
                                      </a:cubicBezTo>
                                      <a:cubicBezTo>
                                        <a:pt x="18870" y="15752"/>
                                        <a:pt x="16968" y="15397"/>
                                        <a:pt x="17600" y="15081"/>
                                      </a:cubicBezTo>
                                      <a:cubicBezTo>
                                        <a:pt x="19756" y="14003"/>
                                        <a:pt x="23988" y="15443"/>
                                        <a:pt x="24288" y="17835"/>
                                      </a:cubicBezTo>
                                      <a:cubicBezTo>
                                        <a:pt x="24422" y="18908"/>
                                        <a:pt x="25074" y="22063"/>
                                        <a:pt x="25074" y="20982"/>
                                      </a:cubicBezTo>
                                      <a:cubicBezTo>
                                        <a:pt x="25074" y="18607"/>
                                        <a:pt x="23737" y="14963"/>
                                        <a:pt x="25861" y="13901"/>
                                      </a:cubicBezTo>
                                      <a:cubicBezTo>
                                        <a:pt x="28236" y="12714"/>
                                        <a:pt x="28311" y="18711"/>
                                        <a:pt x="30188" y="20588"/>
                                      </a:cubicBezTo>
                                      <a:cubicBezTo>
                                        <a:pt x="34218" y="24618"/>
                                        <a:pt x="49954" y="17931"/>
                                        <a:pt x="45924" y="13901"/>
                                      </a:cubicBezTo>
                                      <a:cubicBezTo>
                                        <a:pt x="43760" y="11737"/>
                                        <a:pt x="38494" y="17745"/>
                                        <a:pt x="39630" y="20588"/>
                                      </a:cubicBezTo>
                                      <a:cubicBezTo>
                                        <a:pt x="41004" y="24026"/>
                                        <a:pt x="46548" y="26572"/>
                                        <a:pt x="49858" y="2491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269682" cy="384532"/>
                      <wp:effectExtent b="0" l="0" r="0" t="0"/>
                      <wp:docPr id="1"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1269682" cy="384532"/>
                              </a:xfrm>
                              <a:prstGeom prst="rect"/>
                              <a:ln/>
                            </pic:spPr>
                          </pic:pic>
                        </a:graphicData>
                      </a:graphic>
                    </wp:inline>
                  </w:drawing>
                </mc:Fallback>
              </mc:AlternateContent>
            </w:r>
            <w:r w:rsidDel="00000000" w:rsidR="00000000" w:rsidRPr="00000000">
              <w:rPr>
                <w:rtl w:val="0"/>
              </w:rPr>
            </w:r>
          </w:p>
        </w:tc>
      </w:tr>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Rachel Lomax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Lead Counselor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Lead Counselor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drawing>
                <wp:inline distB="114300" distT="114300" distL="114300" distR="114300">
                  <wp:extent cx="1666875" cy="520700"/>
                  <wp:effectExtent b="0" l="0" r="0" t="0"/>
                  <wp:docPr id="4"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1666875" cy="520700"/>
                          </a:xfrm>
                          <a:prstGeom prst="rect"/>
                          <a:ln/>
                        </pic:spPr>
                      </pic:pic>
                    </a:graphicData>
                  </a:graphic>
                </wp:inline>
              </w:drawing>
            </w:r>
            <w:r w:rsidDel="00000000" w:rsidR="00000000" w:rsidRPr="00000000">
              <w:rPr>
                <w:rtl w:val="0"/>
              </w:rPr>
            </w:r>
          </w:p>
        </w:tc>
      </w:tr>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r>
          </w:p>
        </w:tc>
      </w:tr>
    </w:tbl>
    <w:p w:rsidR="00000000" w:rsidDel="00000000" w:rsidP="00000000" w:rsidRDefault="00000000" w:rsidRPr="00000000" w14:paraId="0000004C">
      <w:pPr>
        <w:rPr/>
      </w:pPr>
      <w:r w:rsidDel="00000000" w:rsidR="00000000" w:rsidRPr="00000000">
        <w:rPr>
          <w:rtl w:val="0"/>
        </w:rPr>
      </w:r>
    </w:p>
    <w:sectPr>
      <w:pgSz w:h="15840" w:w="12240"/>
      <w:pgMar w:bottom="431.99999999999994" w:top="431.99999999999994"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color w:val="212529"/>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ur04.safelinks.protection.outlook.com/?url=https%3A%2F%2Fnepris.zoom.us%2Fmeeting%2Fregister%2Fv5IlfuigpzojynUE-5llQq_2TZVXXY7mPA&amp;data=02%7C01%7C%7C876e94fade62406f33ca08d7d57d9e5d%7C84df9e7fe9f640afb435aaaaaaaaaaaa%7C1%7C0%7C637212607807325565&amp;sdata=mHjQaDAAYf%2Fn0JM01Z9AJvizjkuULH%2FSTmlkediFugE%3D&amp;reserved=0" TargetMode="External"/><Relationship Id="rId10" Type="http://schemas.openxmlformats.org/officeDocument/2006/relationships/hyperlink" Target="https://eur04.safelinks.protection.outlook.com/?url=https%3A%2F%2Fnepris.zoom.us%2Fmeeting%2Fregister%2FvpEsde6gqTsqw3aQBxYCO3R0yEOJH_jNOw&amp;data=02%7C01%7C%7C876e94fade62406f33ca08d7d57d9e5d%7C84df9e7fe9f640afb435aaaaaaaaaaaa%7C1%7C0%7C637212607807315552&amp;sdata=JsRuu%2Frx%2FSH6tGt0ZmlxwBgsL74ZD6GgeKkYtZG%2FyWI%3D&amp;reserved=0" TargetMode="External"/><Relationship Id="rId13" Type="http://schemas.openxmlformats.org/officeDocument/2006/relationships/hyperlink" Target="https://www.edelements.com/webinars" TargetMode="External"/><Relationship Id="rId12" Type="http://schemas.openxmlformats.org/officeDocument/2006/relationships/hyperlink" Target="https://www.edtx.org/get-involved/events/ccrsm-2020-leadership-summ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r04.safelinks.protection.outlook.com/?url=https%3A%2F%2Fnepris.zoom.us%2Fmeeting%2Fregister%2FvJIsde2przwr7UpQtoTArr2wmARibJNO5g&amp;data=02%7C01%7C%7C876e94fade62406f33ca08d7d57d9e5d%7C84df9e7fe9f640afb435aaaaaaaaaaaa%7C1%7C0%7C637212607807315552&amp;sdata=TVhozDwBjUTz3%2FfmD4gnsCTQRhhEZp9tFn%2B4agMoj4k%3D&amp;reserved=0" TargetMode="External"/><Relationship Id="rId15" Type="http://schemas.openxmlformats.org/officeDocument/2006/relationships/hyperlink" Target="https://tea.texas.gov/texas-schools/health-safety-discipline/coronavirus-covid-19-support-and-guidance" TargetMode="External"/><Relationship Id="rId14" Type="http://schemas.openxmlformats.org/officeDocument/2006/relationships/hyperlink" Target="https://lead4ward.com/resources/" TargetMode="External"/><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hyperlink" Target="https://us02web.zoom.us/j/2367505029" TargetMode="External"/><Relationship Id="rId18" Type="http://schemas.openxmlformats.org/officeDocument/2006/relationships/image" Target="media/image3.png"/><Relationship Id="rId7" Type="http://schemas.openxmlformats.org/officeDocument/2006/relationships/hyperlink" Target="https://texreg.sos.state.tx.us/public/readtac$ext.TacPage?sl=T&amp;app=9&amp;p_dir=N&amp;p_rloc=187782&amp;p_tloc=&amp;p_ploc=1&amp;pg=2&amp;p_tac=&amp;ti=19&amp;pt=1&amp;ch=4&amp;rl=54" TargetMode="External"/><Relationship Id="rId8" Type="http://schemas.openxmlformats.org/officeDocument/2006/relationships/hyperlink" Target="https://tea.texas.gov/sites/default/files/Texas_STEM_Education_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